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kern w:val="0"/>
          <w:sz w:val="32"/>
          <w:szCs w:val="32"/>
        </w:rPr>
      </w:pPr>
      <w:r>
        <w:rPr>
          <w:rFonts w:eastAsia="黑体"/>
          <w:kern w:val="0"/>
          <w:sz w:val="32"/>
          <w:szCs w:val="32"/>
        </w:rPr>
        <w:t>附件1</w:t>
      </w:r>
    </w:p>
    <w:p>
      <w:pPr>
        <w:spacing w:before="240" w:beforeLines="100" w:after="240" w:afterLines="100"/>
        <w:jc w:val="center"/>
        <w:rPr>
          <w:rFonts w:eastAsia="楷体_GB2312"/>
          <w:bCs/>
          <w:kern w:val="0"/>
          <w:sz w:val="32"/>
          <w:szCs w:val="32"/>
        </w:rPr>
      </w:pPr>
      <w:r>
        <w:rPr>
          <w:rFonts w:hint="eastAsia" w:eastAsia="方正小标宋_GBK"/>
          <w:bCs/>
          <w:kern w:val="0"/>
          <w:sz w:val="36"/>
          <w:szCs w:val="36"/>
          <w:lang w:val="en-US" w:eastAsia="zh-CN"/>
        </w:rPr>
        <w:t>2021</w:t>
      </w:r>
      <w:r>
        <w:rPr>
          <w:rFonts w:eastAsia="方正小标宋_GBK"/>
          <w:bCs/>
          <w:kern w:val="0"/>
          <w:sz w:val="36"/>
          <w:szCs w:val="36"/>
        </w:rPr>
        <w:t>年部门整体支出绩效目标表</w:t>
      </w:r>
    </w:p>
    <w:p>
      <w:pPr>
        <w:widowControl/>
        <w:tabs>
          <w:tab w:val="left" w:pos="2593"/>
        </w:tabs>
        <w:jc w:val="left"/>
        <w:rPr>
          <w:rFonts w:hint="eastAsia" w:ascii="仿宋_GB2312" w:eastAsia="仿宋_GB2312"/>
          <w:kern w:val="0"/>
          <w:szCs w:val="21"/>
        </w:rPr>
      </w:pPr>
      <w:r>
        <w:rPr>
          <w:rFonts w:hint="eastAsia" w:ascii="仿宋_GB2312" w:eastAsia="仿宋_GB2312"/>
          <w:kern w:val="0"/>
          <w:sz w:val="24"/>
          <w:szCs w:val="21"/>
        </w:rPr>
        <w:t xml:space="preserve"> 填报单位：</w:t>
      </w:r>
      <w:r>
        <w:rPr>
          <w:rFonts w:hint="eastAsia" w:ascii="仿宋_GB2312" w:eastAsia="仿宋_GB2312"/>
          <w:kern w:val="0"/>
          <w:sz w:val="24"/>
          <w:szCs w:val="21"/>
          <w:lang w:eastAsia="zh-CN"/>
        </w:rPr>
        <w:t>邵阳市水利局</w:t>
      </w:r>
      <w:r>
        <w:rPr>
          <w:rFonts w:hint="eastAsia" w:ascii="仿宋_GB2312" w:eastAsia="仿宋_GB2312"/>
          <w:kern w:val="0"/>
          <w:sz w:val="24"/>
          <w:szCs w:val="21"/>
        </w:rPr>
        <w:t>（盖章）</w:t>
      </w:r>
      <w:r>
        <w:rPr>
          <w:rFonts w:hint="eastAsia" w:ascii="仿宋_GB2312" w:eastAsia="仿宋_GB2312"/>
          <w:kern w:val="0"/>
          <w:szCs w:val="21"/>
        </w:rPr>
        <w:tab/>
      </w:r>
    </w:p>
    <w:tbl>
      <w:tblPr>
        <w:tblStyle w:val="2"/>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147"/>
        <w:gridCol w:w="1843"/>
        <w:gridCol w:w="950"/>
        <w:gridCol w:w="111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部门名称</w:t>
            </w:r>
          </w:p>
        </w:tc>
        <w:tc>
          <w:tcPr>
            <w:tcW w:w="7681" w:type="dxa"/>
            <w:gridSpan w:val="5"/>
            <w:noWrap w:val="0"/>
            <w:vAlign w:val="center"/>
          </w:tcPr>
          <w:p>
            <w:pPr>
              <w:widowControl/>
              <w:jc w:val="center"/>
              <w:rPr>
                <w:rFonts w:hint="eastAsia" w:ascii="仿宋_GB2312" w:eastAsia="仿宋_GB2312"/>
                <w:kern w:val="0"/>
                <w:szCs w:val="21"/>
              </w:rPr>
            </w:pPr>
            <w:r>
              <w:rPr>
                <w:rFonts w:hint="eastAsia" w:ascii="仿宋_GB2312" w:eastAsia="仿宋_GB2312"/>
                <w:kern w:val="0"/>
                <w:sz w:val="24"/>
                <w:szCs w:val="21"/>
                <w:lang w:eastAsia="zh-CN"/>
              </w:rPr>
              <w:t>邵阳市水利局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年度预算申请</w:t>
            </w:r>
            <w:r>
              <w:rPr>
                <w:rFonts w:hint="eastAsia" w:ascii="仿宋_GB2312" w:eastAsia="仿宋_GB2312"/>
                <w:kern w:val="0"/>
                <w:szCs w:val="21"/>
              </w:rPr>
              <w:br w:type="textWrapping"/>
            </w:r>
            <w:r>
              <w:rPr>
                <w:rFonts w:hint="eastAsia" w:ascii="仿宋_GB2312" w:eastAsia="仿宋_GB2312"/>
                <w:kern w:val="0"/>
                <w:szCs w:val="21"/>
              </w:rPr>
              <w:t>（万元）</w:t>
            </w:r>
          </w:p>
        </w:tc>
        <w:tc>
          <w:tcPr>
            <w:tcW w:w="7681" w:type="dxa"/>
            <w:gridSpan w:val="5"/>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资金总额：</w:t>
            </w:r>
            <w:r>
              <w:rPr>
                <w:rFonts w:hint="eastAsia" w:ascii="仿宋_GB2312" w:eastAsia="仿宋_GB2312"/>
                <w:kern w:val="0"/>
                <w:szCs w:val="21"/>
                <w:lang w:val="en-US" w:eastAsia="zh-CN"/>
              </w:rPr>
              <w:t>1700.14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按收入性质分：</w:t>
            </w:r>
          </w:p>
        </w:tc>
        <w:tc>
          <w:tcPr>
            <w:tcW w:w="3741"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一般公共预算：</w:t>
            </w:r>
            <w:r>
              <w:rPr>
                <w:rFonts w:hint="eastAsia" w:ascii="仿宋_GB2312" w:eastAsia="仿宋_GB2312"/>
                <w:kern w:val="0"/>
                <w:szCs w:val="21"/>
                <w:lang w:val="en-US" w:eastAsia="zh-CN"/>
              </w:rPr>
              <w:t>990.14</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基本支出：</w:t>
            </w:r>
            <w:r>
              <w:rPr>
                <w:rFonts w:hint="eastAsia" w:ascii="仿宋_GB2312" w:eastAsia="仿宋_GB2312"/>
                <w:kern w:val="0"/>
                <w:szCs w:val="21"/>
                <w:lang w:val="en-US" w:eastAsia="zh-CN"/>
              </w:rPr>
              <w:t>1680.14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政府性基金拨款：</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 xml:space="preserve">       项目支出：</w:t>
            </w:r>
            <w:r>
              <w:rPr>
                <w:rFonts w:hint="eastAsia" w:ascii="仿宋_GB2312" w:eastAsia="仿宋_GB2312"/>
                <w:kern w:val="0"/>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纳入专户管理的非税收入拨款：</w:t>
            </w:r>
            <w:r>
              <w:rPr>
                <w:rFonts w:hint="eastAsia" w:ascii="仿宋_GB2312" w:eastAsia="仿宋_GB2312"/>
                <w:kern w:val="0"/>
                <w:szCs w:val="21"/>
                <w:lang w:val="en-US" w:eastAsia="zh-CN"/>
              </w:rPr>
              <w:t>710</w:t>
            </w:r>
          </w:p>
        </w:tc>
        <w:tc>
          <w:tcPr>
            <w:tcW w:w="3741"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其他资金：</w:t>
            </w:r>
          </w:p>
        </w:tc>
        <w:tc>
          <w:tcPr>
            <w:tcW w:w="3741" w:type="dxa"/>
            <w:gridSpan w:val="2"/>
            <w:noWrap w:val="0"/>
            <w:vAlign w:val="center"/>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部门职能</w:t>
            </w:r>
          </w:p>
          <w:p>
            <w:pPr>
              <w:widowControl/>
              <w:jc w:val="center"/>
              <w:rPr>
                <w:rFonts w:hint="eastAsia" w:ascii="仿宋_GB2312" w:eastAsia="仿宋_GB2312"/>
                <w:kern w:val="0"/>
                <w:szCs w:val="21"/>
              </w:rPr>
            </w:pPr>
            <w:r>
              <w:rPr>
                <w:rFonts w:hint="eastAsia" w:ascii="仿宋_GB2312" w:eastAsia="仿宋_GB2312"/>
                <w:kern w:val="0"/>
                <w:szCs w:val="21"/>
              </w:rPr>
              <w:t>职责概述</w:t>
            </w:r>
          </w:p>
        </w:tc>
        <w:tc>
          <w:tcPr>
            <w:tcW w:w="7681" w:type="dxa"/>
            <w:gridSpan w:val="5"/>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1、负责保障水资源的合理开发利用。2、负责生活、生产经营和生态环境用水的统筹和保障。3、指导水资源保护工作，负责节约用水工作。4、指导水利设施、水域及其岸线的管理、保护与综合利用,指导监督水利工程建设与运行管理，指导农村水利工作。5、负责水土保持工作。6、负责水利工程移民管理工作。7、指导协调重大涉水违法事件的查处。8、开展水利科技和外事工作。9、组织编制洪水干旱灾害防治规划和防护标准并指导实施；织编制重要江河湖泊和重要水工程的防御洪水抗御旱灾调度及应急水量调度方案，按程序报批并组织实施；承担防御洪水应急抢险的技术支撑工作；承担台风防御期间重要水工程调度工作。10、完成市委、市政府交办的其他任务。11、提出水利资金安排建议并负责项目实施的监督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整体绩效目标</w:t>
            </w:r>
          </w:p>
        </w:tc>
        <w:tc>
          <w:tcPr>
            <w:tcW w:w="7681" w:type="dxa"/>
            <w:gridSpan w:val="5"/>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在今年收支预算内，确保完成以下整体目标：</w:t>
            </w:r>
          </w:p>
          <w:p>
            <w:pPr>
              <w:widowControl/>
              <w:jc w:val="left"/>
              <w:rPr>
                <w:rFonts w:hint="eastAsia" w:ascii="仿宋_GB2312" w:eastAsia="仿宋_GB2312"/>
                <w:kern w:val="0"/>
                <w:szCs w:val="21"/>
              </w:rPr>
            </w:pPr>
            <w:r>
              <w:rPr>
                <w:rFonts w:hint="eastAsia" w:ascii="仿宋_GB2312" w:eastAsia="仿宋_GB2312"/>
                <w:kern w:val="0"/>
                <w:szCs w:val="21"/>
              </w:rPr>
              <w:t>1、协调、推进犬木塘水库重大工程进度，实施中小河流治理、病险水库除险加固、大中型灌区节水配套工程。</w:t>
            </w:r>
          </w:p>
          <w:p>
            <w:pPr>
              <w:widowControl/>
              <w:jc w:val="left"/>
              <w:rPr>
                <w:rFonts w:hint="eastAsia" w:ascii="仿宋_GB2312" w:eastAsia="仿宋_GB2312"/>
                <w:kern w:val="0"/>
                <w:szCs w:val="21"/>
              </w:rPr>
            </w:pPr>
            <w:r>
              <w:rPr>
                <w:rFonts w:hint="eastAsia" w:ascii="仿宋_GB2312" w:eastAsia="仿宋_GB2312"/>
                <w:kern w:val="0"/>
                <w:szCs w:val="21"/>
              </w:rPr>
              <w:t>2、以农村安全饮水为重点，抓好乡村振兴工作。</w:t>
            </w:r>
          </w:p>
          <w:p>
            <w:pPr>
              <w:widowControl/>
              <w:jc w:val="left"/>
              <w:rPr>
                <w:rFonts w:hint="eastAsia" w:ascii="仿宋_GB2312" w:eastAsia="仿宋_GB2312"/>
                <w:kern w:val="0"/>
                <w:szCs w:val="21"/>
              </w:rPr>
            </w:pPr>
            <w:r>
              <w:rPr>
                <w:rFonts w:hint="eastAsia" w:ascii="仿宋_GB2312" w:eastAsia="仿宋_GB2312"/>
                <w:kern w:val="0"/>
                <w:szCs w:val="21"/>
              </w:rPr>
              <w:t>3、进一步夯实河长制工作基层基础，持续深化‘一河一警长’机制，深化“两长两员”管理机制，实现“强基础、创亮点、夺先进”河长制的工作目标。</w:t>
            </w:r>
          </w:p>
          <w:p>
            <w:pPr>
              <w:widowControl/>
              <w:jc w:val="left"/>
              <w:rPr>
                <w:rFonts w:hint="eastAsia" w:ascii="仿宋_GB2312" w:eastAsia="仿宋_GB2312"/>
                <w:kern w:val="0"/>
                <w:szCs w:val="21"/>
              </w:rPr>
            </w:pPr>
            <w:r>
              <w:rPr>
                <w:rFonts w:hint="eastAsia" w:ascii="仿宋_GB2312" w:eastAsia="仿宋_GB2312"/>
                <w:kern w:val="0"/>
                <w:szCs w:val="21"/>
              </w:rPr>
              <w:t>4、紧扣“高质量发展”，全面推进水利工程项目建设。</w:t>
            </w:r>
            <w:r>
              <w:rPr>
                <w:rFonts w:hint="eastAsia" w:ascii="仿宋_GB2312" w:eastAsia="仿宋_GB2312"/>
                <w:kern w:val="0"/>
                <w:szCs w:val="21"/>
              </w:rPr>
              <w:tab/>
            </w:r>
            <w:r>
              <w:rPr>
                <w:rFonts w:hint="eastAsia" w:ascii="仿宋_GB2312" w:eastAsia="仿宋_GB2312"/>
                <w:kern w:val="0"/>
                <w:szCs w:val="21"/>
              </w:rPr>
              <w:tab/>
            </w:r>
            <w:r>
              <w:rPr>
                <w:rFonts w:hint="eastAsia" w:ascii="仿宋_GB2312" w:eastAsia="仿宋_GB2312"/>
                <w:kern w:val="0"/>
                <w:szCs w:val="21"/>
              </w:rPr>
              <w:tab/>
            </w:r>
            <w:r>
              <w:rPr>
                <w:rFonts w:hint="eastAsia" w:ascii="仿宋_GB2312" w:eastAsia="仿宋_GB2312"/>
                <w:kern w:val="0"/>
                <w:szCs w:val="21"/>
              </w:rPr>
              <w:tab/>
            </w:r>
          </w:p>
          <w:p>
            <w:pPr>
              <w:widowControl/>
              <w:jc w:val="left"/>
              <w:rPr>
                <w:rFonts w:hint="eastAsia" w:ascii="仿宋_GB2312" w:eastAsia="仿宋_GB2312"/>
                <w:kern w:val="0"/>
                <w:szCs w:val="21"/>
              </w:rPr>
            </w:pPr>
            <w:r>
              <w:rPr>
                <w:rFonts w:hint="eastAsia" w:ascii="仿宋_GB2312" w:eastAsia="仿宋_GB2312"/>
                <w:kern w:val="0"/>
                <w:szCs w:val="21"/>
              </w:rPr>
              <w:t>5、抓好水利工程防洪保安，提供防洪抢险工作技术支撑。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部门整体支出</w:t>
            </w:r>
          </w:p>
          <w:p>
            <w:pPr>
              <w:jc w:val="center"/>
              <w:rPr>
                <w:rFonts w:hint="eastAsia" w:ascii="仿宋_GB2312" w:eastAsia="仿宋_GB2312"/>
                <w:kern w:val="0"/>
                <w:szCs w:val="21"/>
              </w:rPr>
            </w:pPr>
            <w:r>
              <w:rPr>
                <w:rFonts w:hint="eastAsia" w:ascii="仿宋_GB2312" w:eastAsia="仿宋_GB2312"/>
                <w:kern w:val="0"/>
                <w:szCs w:val="21"/>
              </w:rPr>
              <w:t>年度绩效指标</w:t>
            </w:r>
          </w:p>
        </w:tc>
        <w:tc>
          <w:tcPr>
            <w:tcW w:w="1147"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一级指标</w:t>
            </w:r>
          </w:p>
        </w:tc>
        <w:tc>
          <w:tcPr>
            <w:tcW w:w="1843"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二级指标</w:t>
            </w:r>
          </w:p>
        </w:tc>
        <w:tc>
          <w:tcPr>
            <w:tcW w:w="2062" w:type="dxa"/>
            <w:gridSpan w:val="2"/>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三级指标</w:t>
            </w:r>
          </w:p>
        </w:tc>
        <w:tc>
          <w:tcPr>
            <w:tcW w:w="2629"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产出指标</w:t>
            </w: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数量指标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水利基础设施建设。</w:t>
            </w:r>
          </w:p>
          <w:p>
            <w:pPr>
              <w:keepNext w:val="0"/>
              <w:keepLines w:val="0"/>
              <w:widowControl/>
              <w:suppressLineNumbers w:val="0"/>
              <w:jc w:val="left"/>
              <w:textAlignment w:val="center"/>
              <w:rPr>
                <w:rFonts w:hint="eastAsia" w:ascii="仿宋_GB2312" w:hAnsi="仿宋_GB2312" w:eastAsia="仿宋_GB2312" w:cs="仿宋_GB2312"/>
                <w:kern w:val="0"/>
                <w:sz w:val="21"/>
                <w:szCs w:val="21"/>
              </w:rPr>
            </w:pPr>
          </w:p>
        </w:tc>
        <w:tc>
          <w:tcPr>
            <w:tcW w:w="2629"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推进国家172项重大水利工程之一的犬木塘水库建设进度，实施中小河流治理9条，病险水库除险加固15座、改造大中型灌区节水配套5处，完成60处农村供水保障工程项目。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质量指标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水利工程竣工验收。</w:t>
            </w:r>
          </w:p>
        </w:tc>
        <w:tc>
          <w:tcPr>
            <w:tcW w:w="2629"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 w:hAnsi="仿宋" w:eastAsia="仿宋" w:cs="仿宋"/>
                <w:sz w:val="21"/>
                <w:szCs w:val="21"/>
              </w:rPr>
              <w:t>工程一次验收合格率达98%以上。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成本指标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p>
        </w:tc>
        <w:tc>
          <w:tcPr>
            <w:tcW w:w="2629" w:type="dxa"/>
            <w:noWrap w:val="0"/>
            <w:vAlign w:val="center"/>
          </w:tcPr>
          <w:p>
            <w:pPr>
              <w:tabs>
                <w:tab w:val="left" w:pos="619"/>
              </w:tabs>
              <w:rPr>
                <w:rFonts w:hint="eastAsia" w:ascii="仿宋_GB2312" w:hAnsi="仿宋_GB2312" w:eastAsia="仿宋_GB2312" w:cs="仿宋_GB2312"/>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时效指标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水利工程建设进度。</w:t>
            </w:r>
          </w:p>
        </w:tc>
        <w:tc>
          <w:tcPr>
            <w:tcW w:w="2629"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 w:hAnsi="仿宋" w:eastAsia="仿宋" w:cs="仿宋"/>
                <w:sz w:val="21"/>
                <w:szCs w:val="21"/>
              </w:rPr>
              <w:t>面上水利项目在年底前完成率不低于80%，重点水利项目在年底前完成率不低于90%，重点民生实事项目在年底前100%完成。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效益指标</w:t>
            </w: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经济效益指标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提高水利服务社会保障能力。</w:t>
            </w:r>
          </w:p>
        </w:tc>
        <w:tc>
          <w:tcPr>
            <w:tcW w:w="2629"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增加农村饮水工程受益人口20万。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社会效益指标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1、严格控制用水总量和提高用水效率；2、抓好水利工程防洪保安。</w:t>
            </w:r>
          </w:p>
          <w:p>
            <w:pPr>
              <w:keepNext w:val="0"/>
              <w:keepLines w:val="0"/>
              <w:widowControl/>
              <w:suppressLineNumbers w:val="0"/>
              <w:jc w:val="left"/>
              <w:textAlignment w:val="center"/>
              <w:rPr>
                <w:rFonts w:hint="eastAsia" w:ascii="仿宋_GB2312" w:hAnsi="仿宋_GB2312" w:eastAsia="仿宋_GB2312" w:cs="仿宋_GB2312"/>
                <w:kern w:val="0"/>
                <w:sz w:val="21"/>
                <w:szCs w:val="21"/>
              </w:rPr>
            </w:pPr>
          </w:p>
        </w:tc>
        <w:tc>
          <w:tcPr>
            <w:tcW w:w="2629" w:type="dxa"/>
            <w:noWrap w:val="0"/>
            <w:vAlign w:val="top"/>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eastAsia="仿宋_GB2312"/>
                <w:kern w:val="0"/>
                <w:sz w:val="21"/>
                <w:szCs w:val="21"/>
                <w:lang w:eastAsia="zh-CN"/>
              </w:rPr>
              <w:t>1、加强水资源合理利用、优化配置和节约保护；2、确保“不垮一库一坝”。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生态效益指标</w:t>
            </w:r>
          </w:p>
        </w:tc>
        <w:tc>
          <w:tcPr>
            <w:tcW w:w="2062" w:type="dxa"/>
            <w:gridSpan w:val="2"/>
            <w:noWrap w:val="0"/>
            <w:vAlign w:val="center"/>
          </w:tcPr>
          <w:p>
            <w:pPr>
              <w:keepNext w:val="0"/>
              <w:keepLines w:val="0"/>
              <w:widowControl/>
              <w:suppressLineNumbers w:val="0"/>
              <w:jc w:val="left"/>
              <w:textAlignment w:val="center"/>
              <w:rPr>
                <w:rFonts w:hint="eastAsia" w:ascii="仿宋" w:hAnsi="仿宋" w:eastAsia="仿宋" w:cs="仿宋"/>
                <w:b w:val="0"/>
                <w:bCs w:val="0"/>
                <w:kern w:val="0"/>
                <w:sz w:val="21"/>
                <w:szCs w:val="21"/>
              </w:rPr>
            </w:pPr>
            <w:r>
              <w:rPr>
                <w:rFonts w:hint="eastAsia" w:ascii="仿宋" w:hAnsi="仿宋" w:eastAsia="仿宋" w:cs="仿宋"/>
                <w:b w:val="0"/>
                <w:bCs w:val="0"/>
                <w:sz w:val="21"/>
                <w:szCs w:val="21"/>
              </w:rPr>
              <w:t>加强水土保持流失防治，保障生态环境。</w:t>
            </w:r>
            <w:r>
              <w:rPr>
                <w:rFonts w:hint="eastAsia" w:ascii="仿宋" w:hAnsi="仿宋" w:eastAsia="仿宋" w:cs="仿宋"/>
                <w:b w:val="0"/>
                <w:bCs w:val="0"/>
                <w:sz w:val="21"/>
                <w:szCs w:val="21"/>
              </w:rPr>
              <w:tab/>
            </w:r>
            <w:r>
              <w:rPr>
                <w:rFonts w:hint="eastAsia" w:ascii="仿宋" w:hAnsi="仿宋" w:eastAsia="仿宋" w:cs="仿宋"/>
                <w:b w:val="0"/>
                <w:bCs w:val="0"/>
                <w:sz w:val="21"/>
                <w:szCs w:val="21"/>
              </w:rPr>
              <w:tab/>
            </w:r>
          </w:p>
        </w:tc>
        <w:tc>
          <w:tcPr>
            <w:tcW w:w="2629" w:type="dxa"/>
            <w:noWrap w:val="0"/>
            <w:vAlign w:val="top"/>
          </w:tcPr>
          <w:p>
            <w:pPr>
              <w:jc w:val="left"/>
              <w:rPr>
                <w:rFonts w:hint="eastAsia" w:ascii="仿宋" w:hAnsi="仿宋" w:eastAsia="仿宋" w:cs="仿宋"/>
                <w:b w:val="0"/>
                <w:bCs w:val="0"/>
                <w:kern w:val="0"/>
                <w:sz w:val="21"/>
                <w:szCs w:val="21"/>
                <w:lang w:val="en-US" w:eastAsia="zh-CN"/>
              </w:rPr>
            </w:pPr>
            <w:r>
              <w:rPr>
                <w:rFonts w:hint="eastAsia" w:ascii="仿宋" w:hAnsi="仿宋" w:eastAsia="仿宋" w:cs="仿宋"/>
                <w:b w:val="0"/>
                <w:bCs w:val="0"/>
                <w:sz w:val="21"/>
                <w:szCs w:val="21"/>
              </w:rPr>
              <w:t>改善生态环境，提高生活品质。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可持续影响指标</w:t>
            </w:r>
          </w:p>
        </w:tc>
        <w:tc>
          <w:tcPr>
            <w:tcW w:w="2062" w:type="dxa"/>
            <w:gridSpan w:val="2"/>
            <w:noWrap w:val="0"/>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sz w:val="21"/>
                <w:szCs w:val="21"/>
              </w:rPr>
              <w:t>坚持节水优先、保护优先。</w:t>
            </w:r>
          </w:p>
          <w:p>
            <w:pPr>
              <w:keepNext w:val="0"/>
              <w:keepLines w:val="0"/>
              <w:widowControl/>
              <w:suppressLineNumbers w:val="0"/>
              <w:jc w:val="left"/>
              <w:textAlignment w:val="center"/>
              <w:rPr>
                <w:rFonts w:hint="eastAsia" w:ascii="仿宋" w:hAnsi="仿宋" w:eastAsia="仿宋" w:cs="仿宋"/>
                <w:kern w:val="0"/>
                <w:sz w:val="21"/>
                <w:szCs w:val="21"/>
              </w:rPr>
            </w:pPr>
          </w:p>
        </w:tc>
        <w:tc>
          <w:tcPr>
            <w:tcW w:w="2629" w:type="dxa"/>
            <w:noWrap w:val="0"/>
            <w:vAlign w:val="center"/>
          </w:tcPr>
          <w:p>
            <w:pPr>
              <w:jc w:val="left"/>
              <w:rPr>
                <w:rFonts w:hint="eastAsia" w:ascii="仿宋" w:hAnsi="仿宋" w:eastAsia="仿宋" w:cs="仿宋"/>
                <w:kern w:val="0"/>
                <w:sz w:val="21"/>
                <w:szCs w:val="21"/>
                <w:lang w:eastAsia="zh-CN"/>
              </w:rPr>
            </w:pPr>
            <w:r>
              <w:rPr>
                <w:rFonts w:hint="eastAsia" w:ascii="仿宋" w:hAnsi="仿宋" w:eastAsia="仿宋" w:cs="仿宋"/>
                <w:sz w:val="21"/>
                <w:szCs w:val="21"/>
              </w:rPr>
              <w:t>统筹兼顾，保障合理利用水需求和水资源的可持续利用，为经济社会发展提供水安全保障。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社会公众或服务对象满意度</w:t>
            </w:r>
          </w:p>
        </w:tc>
        <w:tc>
          <w:tcPr>
            <w:tcW w:w="2062" w:type="dxa"/>
            <w:gridSpan w:val="2"/>
            <w:noWrap w:val="0"/>
            <w:vAlign w:val="center"/>
          </w:tcPr>
          <w:p>
            <w:pPr>
              <w:keepNext w:val="0"/>
              <w:keepLines w:val="0"/>
              <w:widowControl/>
              <w:suppressLineNumbers w:val="0"/>
              <w:jc w:val="left"/>
              <w:textAlignment w:val="center"/>
              <w:rPr>
                <w:rFonts w:hint="eastAsia" w:ascii="仿宋" w:hAnsi="仿宋" w:eastAsia="仿宋" w:cs="仿宋"/>
                <w:kern w:val="0"/>
                <w:sz w:val="21"/>
                <w:szCs w:val="21"/>
              </w:rPr>
            </w:pPr>
            <w:r>
              <w:rPr>
                <w:rFonts w:hint="eastAsia" w:ascii="仿宋" w:hAnsi="仿宋" w:eastAsia="仿宋" w:cs="仿宋"/>
                <w:sz w:val="21"/>
                <w:szCs w:val="21"/>
              </w:rPr>
              <w:t>加强水利建设管理队伍建设，提高服务能力，履行好各项监督管理职能。</w:t>
            </w:r>
            <w:r>
              <w:rPr>
                <w:rFonts w:hint="eastAsia" w:ascii="仿宋" w:hAnsi="仿宋" w:eastAsia="仿宋" w:cs="仿宋"/>
                <w:sz w:val="21"/>
                <w:szCs w:val="21"/>
              </w:rPr>
              <w:tab/>
            </w:r>
            <w:r>
              <w:rPr>
                <w:rFonts w:hint="eastAsia" w:ascii="仿宋" w:hAnsi="仿宋" w:eastAsia="仿宋" w:cs="仿宋"/>
                <w:sz w:val="21"/>
                <w:szCs w:val="21"/>
              </w:rPr>
              <w:tab/>
            </w:r>
          </w:p>
        </w:tc>
        <w:tc>
          <w:tcPr>
            <w:tcW w:w="2629" w:type="dxa"/>
            <w:noWrap w:val="0"/>
            <w:vAlign w:val="center"/>
          </w:tcPr>
          <w:p>
            <w:pPr>
              <w:ind w:firstLine="420" w:firstLineChars="200"/>
              <w:rPr>
                <w:rFonts w:hint="eastAsia" w:ascii="仿宋" w:hAnsi="仿宋" w:eastAsia="仿宋" w:cs="仿宋"/>
                <w:kern w:val="0"/>
                <w:sz w:val="21"/>
                <w:szCs w:val="21"/>
                <w:lang w:val="en-US" w:eastAsia="zh-CN"/>
              </w:rPr>
            </w:pPr>
            <w:r>
              <w:rPr>
                <w:rFonts w:hint="eastAsia" w:ascii="仿宋" w:hAnsi="仿宋" w:eastAsia="仿宋" w:cs="仿宋"/>
                <w:sz w:val="21"/>
                <w:szCs w:val="21"/>
              </w:rPr>
              <w:t>满意度逐步提升。</w:t>
            </w:r>
          </w:p>
        </w:tc>
      </w:tr>
    </w:tbl>
    <w:p>
      <w:pPr>
        <w:widowControl/>
        <w:tabs>
          <w:tab w:val="left" w:pos="1333"/>
          <w:tab w:val="left" w:pos="3793"/>
          <w:tab w:val="left" w:pos="5853"/>
        </w:tabs>
        <w:jc w:val="left"/>
        <w:rPr>
          <w:rFonts w:hint="eastAsia" w:ascii="仿宋_GB2312" w:eastAsia="仿宋_GB2312"/>
          <w:kern w:val="0"/>
          <w:szCs w:val="21"/>
        </w:rPr>
      </w:pPr>
    </w:p>
    <w:p>
      <w:pPr>
        <w:widowControl/>
        <w:tabs>
          <w:tab w:val="left" w:pos="1333"/>
          <w:tab w:val="left" w:pos="3793"/>
          <w:tab w:val="left" w:pos="5853"/>
        </w:tabs>
        <w:jc w:val="both"/>
        <w:rPr>
          <w:rFonts w:hint="eastAsia" w:ascii="仿宋_GB2312" w:eastAsia="仿宋_GB2312"/>
          <w:kern w:val="0"/>
          <w:szCs w:val="21"/>
          <w:lang w:eastAsia="zh-CN"/>
        </w:rPr>
      </w:pPr>
      <w:r>
        <w:rPr>
          <w:rFonts w:hint="eastAsia" w:ascii="仿宋_GB2312" w:eastAsia="仿宋_GB2312"/>
          <w:kern w:val="0"/>
          <w:szCs w:val="21"/>
        </w:rPr>
        <w:t>填表人：</w:t>
      </w:r>
      <w:r>
        <w:rPr>
          <w:rFonts w:hint="eastAsia" w:ascii="仿宋_GB2312" w:eastAsia="仿宋_GB2312"/>
          <w:kern w:val="0"/>
          <w:szCs w:val="21"/>
          <w:lang w:eastAsia="zh-CN"/>
        </w:rPr>
        <w:t>刘珺</w:t>
      </w:r>
      <w:r>
        <w:rPr>
          <w:rFonts w:hint="eastAsia" w:ascii="仿宋_GB2312" w:eastAsia="仿宋_GB2312"/>
          <w:kern w:val="0"/>
          <w:szCs w:val="21"/>
        </w:rPr>
        <w:t xml:space="preserve">  联系电话：</w:t>
      </w:r>
      <w:r>
        <w:rPr>
          <w:rFonts w:hint="eastAsia" w:ascii="仿宋_GB2312" w:eastAsia="仿宋_GB2312"/>
          <w:kern w:val="0"/>
          <w:szCs w:val="21"/>
          <w:lang w:val="en-US" w:eastAsia="zh-CN"/>
        </w:rPr>
        <w:t>8173959212</w:t>
      </w:r>
      <w:r>
        <w:rPr>
          <w:rFonts w:hint="eastAsia" w:ascii="仿宋_GB2312" w:eastAsia="仿宋_GB2312"/>
          <w:kern w:val="0"/>
          <w:szCs w:val="21"/>
        </w:rPr>
        <w:t xml:space="preserve">  填报日期：</w:t>
      </w:r>
      <w:r>
        <w:rPr>
          <w:rFonts w:hint="eastAsia" w:ascii="仿宋_GB2312" w:eastAsia="仿宋_GB2312"/>
          <w:kern w:val="0"/>
          <w:szCs w:val="21"/>
          <w:lang w:val="en-US" w:eastAsia="zh-CN"/>
        </w:rPr>
        <w:t>2020.12.31</w:t>
      </w:r>
      <w:r>
        <w:rPr>
          <w:rFonts w:hint="eastAsia" w:ascii="仿宋_GB2312" w:eastAsia="仿宋_GB2312"/>
          <w:kern w:val="0"/>
          <w:szCs w:val="21"/>
        </w:rPr>
        <w:t xml:space="preserve">  单位负责人签字：</w:t>
      </w:r>
      <w:r>
        <w:rPr>
          <w:rFonts w:hint="eastAsia" w:ascii="仿宋_GB2312" w:eastAsia="仿宋_GB2312"/>
          <w:kern w:val="0"/>
          <w:szCs w:val="21"/>
          <w:lang w:eastAsia="zh-CN"/>
        </w:rPr>
        <w:t>伍先明</w:t>
      </w:r>
    </w:p>
    <w:p>
      <w:pPr>
        <w:widowControl/>
        <w:spacing w:line="600" w:lineRule="exact"/>
        <w:jc w:val="both"/>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bookmarkStart w:id="0" w:name="_GoBack"/>
      <w:bookmarkEnd w:id="0"/>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r>
        <w:rPr>
          <w:rFonts w:eastAsia="黑体"/>
          <w:kern w:val="0"/>
          <w:sz w:val="32"/>
          <w:szCs w:val="32"/>
        </w:rPr>
        <w:t>附件1-2</w:t>
      </w:r>
    </w:p>
    <w:p>
      <w:pPr>
        <w:widowControl/>
        <w:tabs>
          <w:tab w:val="left" w:pos="2203"/>
          <w:tab w:val="left" w:pos="4145"/>
          <w:tab w:val="left" w:pos="5718"/>
          <w:tab w:val="left" w:pos="6938"/>
          <w:tab w:val="left" w:pos="8139"/>
        </w:tabs>
        <w:spacing w:line="600" w:lineRule="exact"/>
        <w:jc w:val="left"/>
        <w:rPr>
          <w:rFonts w:eastAsia="黑体"/>
          <w:kern w:val="0"/>
          <w:sz w:val="32"/>
          <w:szCs w:val="32"/>
        </w:rPr>
      </w:pPr>
    </w:p>
    <w:p>
      <w:pPr>
        <w:spacing w:line="600" w:lineRule="exact"/>
        <w:jc w:val="center"/>
        <w:rPr>
          <w:rFonts w:eastAsia="方正小标宋_GBK"/>
          <w:sz w:val="36"/>
          <w:szCs w:val="36"/>
        </w:rPr>
      </w:pPr>
      <w:r>
        <w:rPr>
          <w:rFonts w:eastAsia="方正小标宋_GBK"/>
          <w:sz w:val="36"/>
          <w:szCs w:val="36"/>
        </w:rPr>
        <w:t>《部门整体支出绩效目标表》编报说明</w:t>
      </w:r>
    </w:p>
    <w:p>
      <w:pPr>
        <w:spacing w:line="600" w:lineRule="exact"/>
        <w:jc w:val="center"/>
        <w:rPr>
          <w:rFonts w:eastAsia="仿宋_GB2312"/>
          <w:b/>
          <w:sz w:val="32"/>
          <w:szCs w:val="32"/>
        </w:rPr>
      </w:pPr>
    </w:p>
    <w:p>
      <w:pPr>
        <w:spacing w:line="600" w:lineRule="exact"/>
        <w:ind w:firstLine="640" w:firstLineChars="200"/>
        <w:rPr>
          <w:rFonts w:eastAsia="黑体"/>
          <w:sz w:val="32"/>
          <w:szCs w:val="32"/>
        </w:rPr>
      </w:pPr>
      <w:r>
        <w:rPr>
          <w:rFonts w:eastAsia="黑体"/>
          <w:sz w:val="32"/>
          <w:szCs w:val="32"/>
        </w:rPr>
        <w:t>一、基本信息</w:t>
      </w:r>
    </w:p>
    <w:p>
      <w:pPr>
        <w:spacing w:line="600" w:lineRule="exact"/>
        <w:ind w:firstLine="640" w:firstLineChars="200"/>
        <w:rPr>
          <w:rFonts w:eastAsia="仿宋_GB2312"/>
          <w:color w:val="000000"/>
          <w:kern w:val="0"/>
          <w:sz w:val="32"/>
          <w:szCs w:val="32"/>
        </w:rPr>
      </w:pPr>
      <w:r>
        <w:rPr>
          <w:sz w:val="32"/>
          <w:szCs w:val="32"/>
        </w:rPr>
        <w:t>1、</w:t>
      </w:r>
      <w:r>
        <w:rPr>
          <w:rFonts w:eastAsia="仿宋_GB2312"/>
          <w:color w:val="000000"/>
          <w:kern w:val="0"/>
          <w:sz w:val="32"/>
          <w:szCs w:val="32"/>
        </w:rPr>
        <w:t>填报单位（盖章）：加盖填报单位公章。</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2、年度预算申请：填写部门年度预算资金总额，并按收入预算和支出预算分别填写。</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3、部门职能职责概述：</w:t>
      </w:r>
      <w:r>
        <w:rPr>
          <w:rFonts w:eastAsia="仿宋_GB2312"/>
          <w:sz w:val="32"/>
          <w:szCs w:val="32"/>
        </w:rPr>
        <w:t>简要描述本部门的主要职能职责。</w:t>
      </w:r>
    </w:p>
    <w:p>
      <w:pPr>
        <w:spacing w:line="600" w:lineRule="exact"/>
        <w:ind w:firstLine="640" w:firstLineChars="200"/>
        <w:rPr>
          <w:rFonts w:eastAsia="黑体"/>
          <w:color w:val="000000"/>
          <w:kern w:val="0"/>
          <w:sz w:val="32"/>
          <w:szCs w:val="32"/>
        </w:rPr>
      </w:pPr>
      <w:r>
        <w:rPr>
          <w:rFonts w:eastAsia="黑体"/>
          <w:color w:val="000000"/>
          <w:kern w:val="0"/>
          <w:sz w:val="32"/>
          <w:szCs w:val="32"/>
        </w:rPr>
        <w:t>二、整体绩效目标</w:t>
      </w:r>
    </w:p>
    <w:p>
      <w:pPr>
        <w:spacing w:line="600" w:lineRule="exact"/>
        <w:ind w:firstLine="640" w:firstLineChars="200"/>
        <w:rPr>
          <w:rFonts w:eastAsia="仿宋_GB2312"/>
          <w:sz w:val="32"/>
          <w:szCs w:val="32"/>
        </w:rPr>
      </w:pPr>
      <w:r>
        <w:rPr>
          <w:rFonts w:eastAsia="仿宋_GB2312"/>
          <w:sz w:val="32"/>
          <w:szCs w:val="32"/>
        </w:rPr>
        <w:t>预算部门根据各级党委</w:t>
      </w:r>
      <w:r>
        <w:rPr>
          <w:rFonts w:hint="eastAsia" w:eastAsia="仿宋_GB2312"/>
          <w:sz w:val="32"/>
          <w:szCs w:val="32"/>
        </w:rPr>
        <w:t>、</w:t>
      </w:r>
      <w:r>
        <w:rPr>
          <w:rFonts w:eastAsia="仿宋_GB2312"/>
          <w:sz w:val="32"/>
          <w:szCs w:val="32"/>
        </w:rPr>
        <w:t>政府下达的工作任务及本部门发展规划，描述年度内部门使用预算资金达到的产出和效果。</w:t>
      </w:r>
    </w:p>
    <w:p>
      <w:pPr>
        <w:spacing w:line="600" w:lineRule="exact"/>
        <w:ind w:firstLine="640" w:firstLineChars="200"/>
        <w:rPr>
          <w:rFonts w:eastAsia="黑体"/>
          <w:color w:val="000000"/>
          <w:kern w:val="0"/>
          <w:sz w:val="32"/>
          <w:szCs w:val="32"/>
        </w:rPr>
      </w:pPr>
      <w:r>
        <w:rPr>
          <w:rFonts w:eastAsia="黑体"/>
          <w:color w:val="000000"/>
          <w:kern w:val="0"/>
          <w:sz w:val="32"/>
          <w:szCs w:val="32"/>
        </w:rPr>
        <w:t>三、部门整体支出年度绩效指标</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部门整体支出年度绩效指标是对预算部门整体支出绩效目标的细化和量化，主要包括：</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1、产出指标：反映部门根据既定目标计划完成的产品和服务情况。可进一步细分为：数量指标，反映部门计划完成的产品或服务数量；质量指标，反映部门计划提供产品或服务达到的标准、水平和效果；时效指标，反映部门计划提供产品或服务的及时程度和效率情况；成本指标，反映部门计划提供产品或服务所需成本。</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2、效益指标：反映与既定绩效目标相关的、部门整体支出预期结果的实现程度和影响，包括经济效益指标、社会效益指标、生态效益指标、可持续影响指标、</w:t>
      </w:r>
      <w:r>
        <w:rPr>
          <w:rFonts w:eastAsia="仿宋_GB2312"/>
          <w:sz w:val="32"/>
          <w:szCs w:val="32"/>
        </w:rPr>
        <w:t>社会公众或服务对象满意度指标</w:t>
      </w:r>
      <w:r>
        <w:rPr>
          <w:rFonts w:eastAsia="仿宋_GB2312"/>
          <w:color w:val="000000"/>
          <w:kern w:val="0"/>
          <w:sz w:val="32"/>
          <w:szCs w:val="32"/>
        </w:rPr>
        <w:t>等。</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3、实际操作中确定的部门整体支出绩效指标具体内容，各部门可根据预算绩效管理工作的需要，在上述指标中选取或做另行补充。</w:t>
      </w:r>
    </w:p>
    <w:p>
      <w:pPr>
        <w:widowControl/>
        <w:tabs>
          <w:tab w:val="left" w:pos="1333"/>
          <w:tab w:val="left" w:pos="3793"/>
          <w:tab w:val="left" w:pos="5853"/>
        </w:tabs>
        <w:jc w:val="left"/>
        <w:rPr>
          <w:rFonts w:hint="eastAsia" w:ascii="仿宋_GB2312" w:eastAsia="仿宋_GB2312"/>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924D4"/>
    <w:rsid w:val="059F1DAE"/>
    <w:rsid w:val="06E24C7B"/>
    <w:rsid w:val="15FB7F8F"/>
    <w:rsid w:val="413A61DA"/>
    <w:rsid w:val="46F71C9A"/>
    <w:rsid w:val="49E924D4"/>
    <w:rsid w:val="4C0D73DE"/>
    <w:rsid w:val="63B96BBC"/>
    <w:rsid w:val="79231B49"/>
    <w:rsid w:val="7BD04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2020-12-09T00:42:00Z</dcterms:created>
  <dc:creator>Administrator</dc:creator>
  <cp:lastModifiedBy>圆</cp:lastModifiedBy>
  <cp:lastPrinted>2021-01-04T01:00:00Z</cp:lastPrinted>
  <dcterms:modified xsi:type="dcterms:W3CDTF">2021-01-29T02:12:36Z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